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C9A18C">
      <w:pPr>
        <w:widowControl w:val="0"/>
        <w:snapToGrid w:val="0"/>
        <w:spacing w:after="0" w:line="440" w:lineRule="exact"/>
        <w:jc w:val="center"/>
        <w:rPr>
          <w:rFonts w:hint="eastAsia" w:ascii="方正小标宋简体" w:hAnsi="仿宋" w:eastAsia="方正小标宋简体" w:cs="方正仿宋简体"/>
          <w:color w:val="000000"/>
          <w:kern w:val="2"/>
          <w:sz w:val="32"/>
          <w:szCs w:val="32"/>
          <w:lang w:eastAsia="zh-CN"/>
        </w:rPr>
      </w:pPr>
      <w:r>
        <w:rPr>
          <w:rFonts w:hint="default" w:ascii="Times New Roman" w:hAnsi="Times New Roman" w:eastAsia="方正小标宋简体" w:cs="Times New Roman"/>
          <w:b/>
          <w:bCs/>
          <w:color w:val="000000"/>
          <w:kern w:val="2"/>
          <w:sz w:val="32"/>
          <w:szCs w:val="32"/>
          <w:lang w:eastAsia="zh-CN"/>
        </w:rPr>
        <w:t>2026</w:t>
      </w:r>
      <w:r>
        <w:rPr>
          <w:rFonts w:hint="eastAsia" w:ascii="方正小标宋简体" w:hAnsi="仿宋" w:eastAsia="方正小标宋简体" w:cs="方正仿宋简体"/>
          <w:color w:val="000000"/>
          <w:kern w:val="2"/>
          <w:sz w:val="32"/>
          <w:szCs w:val="32"/>
          <w:lang w:eastAsia="zh-CN"/>
        </w:rPr>
        <w:t>年北京市车用汽油清净剂产品质量监督抽查实施细则</w:t>
      </w:r>
    </w:p>
    <w:p w14:paraId="3D3F7830">
      <w:pPr>
        <w:spacing w:line="240" w:lineRule="auto"/>
        <w:rPr>
          <w:sz w:val="21"/>
          <w:szCs w:val="21"/>
        </w:rPr>
      </w:pPr>
    </w:p>
    <w:p w14:paraId="365C67CB">
      <w:pPr>
        <w:widowControl w:val="0"/>
        <w:snapToGrid w:val="0"/>
        <w:spacing w:after="0" w:line="440" w:lineRule="exact"/>
        <w:jc w:val="both"/>
        <w:rPr>
          <w:rFonts w:hint="eastAsia" w:ascii="黑体" w:hAnsi="宋体" w:eastAsia="黑体" w:cs="Times New Roman"/>
          <w:color w:val="000000"/>
          <w:kern w:val="2"/>
          <w:sz w:val="21"/>
          <w:szCs w:val="21"/>
          <w:lang w:eastAsia="zh-CN"/>
        </w:rPr>
      </w:pPr>
      <w:r>
        <w:rPr>
          <w:rFonts w:hint="eastAsia" w:ascii="黑体" w:hAnsi="宋体" w:eastAsia="黑体" w:cs="Times New Roman"/>
          <w:color w:val="000000"/>
          <w:kern w:val="2"/>
          <w:sz w:val="21"/>
          <w:szCs w:val="21"/>
          <w:lang w:eastAsia="zh-CN"/>
        </w:rPr>
        <w:t>1 抽样方法</w:t>
      </w:r>
      <w:bookmarkStart w:id="0" w:name="_GoBack"/>
      <w:bookmarkEnd w:id="0"/>
    </w:p>
    <w:p w14:paraId="25875FFD">
      <w:pPr>
        <w:widowControl w:val="0"/>
        <w:snapToGrid w:val="0"/>
        <w:spacing w:after="0" w:line="440" w:lineRule="exact"/>
        <w:ind w:firstLine="420" w:firstLineChars="200"/>
        <w:jc w:val="both"/>
        <w:rPr>
          <w:rFonts w:hint="eastAsia" w:ascii="宋体" w:hAnsi="宋体" w:cs="Times New Roman"/>
          <w:color w:val="000000"/>
          <w:kern w:val="2"/>
          <w:sz w:val="21"/>
          <w:szCs w:val="21"/>
          <w:lang w:eastAsia="zh-CN"/>
        </w:rPr>
      </w:pPr>
      <w:r>
        <w:rPr>
          <w:rFonts w:hint="eastAsia" w:ascii="宋体" w:hAnsi="宋体" w:cs="Times New Roman"/>
          <w:color w:val="000000"/>
          <w:kern w:val="2"/>
          <w:sz w:val="21"/>
          <w:szCs w:val="21"/>
          <w:lang w:eastAsia="zh-CN"/>
        </w:rPr>
        <w:t>以随机抽样的方式在被抽样生产者、销售者的待销产品中抽取。</w:t>
      </w:r>
    </w:p>
    <w:p w14:paraId="073E0797">
      <w:pPr>
        <w:widowControl w:val="0"/>
        <w:snapToGrid w:val="0"/>
        <w:spacing w:after="0" w:line="440" w:lineRule="exact"/>
        <w:ind w:firstLine="420" w:firstLineChars="200"/>
        <w:jc w:val="both"/>
        <w:rPr>
          <w:rFonts w:hint="eastAsia" w:ascii="宋体" w:hAnsi="宋体" w:cs="Times New Roman"/>
          <w:color w:val="000000"/>
          <w:kern w:val="2"/>
          <w:sz w:val="21"/>
          <w:szCs w:val="21"/>
          <w:lang w:eastAsia="zh-CN"/>
        </w:rPr>
      </w:pPr>
      <w:r>
        <w:rPr>
          <w:rFonts w:hint="eastAsia" w:ascii="宋体" w:hAnsi="宋体" w:cs="Times New Roman"/>
          <w:color w:val="000000"/>
          <w:kern w:val="2"/>
          <w:sz w:val="21"/>
          <w:szCs w:val="21"/>
          <w:lang w:eastAsia="zh-CN"/>
        </w:rPr>
        <w:t>随机数一般可使用随机数表等方法产生。</w:t>
      </w:r>
    </w:p>
    <w:p w14:paraId="7C7E5DE9">
      <w:pPr>
        <w:widowControl w:val="0"/>
        <w:snapToGrid w:val="0"/>
        <w:spacing w:after="0" w:line="440" w:lineRule="exact"/>
        <w:ind w:firstLine="420" w:firstLineChars="200"/>
        <w:jc w:val="both"/>
        <w:rPr>
          <w:rFonts w:hint="default" w:ascii="Times New Roman" w:hAnsi="Times New Roman" w:cs="Times New Roman"/>
          <w:color w:val="000000"/>
          <w:kern w:val="2"/>
          <w:sz w:val="21"/>
          <w:szCs w:val="21"/>
          <w:lang w:eastAsia="zh-CN"/>
        </w:rPr>
      </w:pPr>
      <w:r>
        <w:rPr>
          <w:rFonts w:hint="default" w:ascii="Times New Roman" w:hAnsi="Times New Roman" w:cs="Times New Roman"/>
          <w:color w:val="000000"/>
          <w:kern w:val="2"/>
          <w:sz w:val="21"/>
          <w:szCs w:val="21"/>
          <w:lang w:eastAsia="zh-CN"/>
        </w:rPr>
        <w:t>抽样基数满足抽样数量即可，每批次产品抽取不少于2个独立包装、总量不</w:t>
      </w:r>
      <w:r>
        <w:rPr>
          <w:rFonts w:hint="default" w:ascii="Times New Roman" w:hAnsi="Times New Roman" w:cs="Times New Roman"/>
          <w:color w:val="000000"/>
          <w:kern w:val="2"/>
          <w:sz w:val="21"/>
          <w:szCs w:val="21"/>
          <w:lang w:val="en-US" w:eastAsia="zh-CN"/>
        </w:rPr>
        <w:t>少</w:t>
      </w:r>
      <w:r>
        <w:rPr>
          <w:rFonts w:hint="default" w:ascii="Times New Roman" w:hAnsi="Times New Roman" w:cs="Times New Roman"/>
          <w:color w:val="000000"/>
          <w:kern w:val="2"/>
          <w:sz w:val="21"/>
          <w:szCs w:val="21"/>
          <w:lang w:eastAsia="zh-CN"/>
        </w:rPr>
        <w:t>于</w:t>
      </w:r>
      <w:r>
        <w:rPr>
          <w:rFonts w:hint="default" w:ascii="Times New Roman" w:hAnsi="Times New Roman" w:cs="Times New Roman"/>
          <w:color w:val="000000"/>
          <w:kern w:val="2"/>
          <w:sz w:val="21"/>
          <w:szCs w:val="21"/>
          <w:lang w:val="en-US" w:eastAsia="zh-CN"/>
        </w:rPr>
        <w:t>1.5</w:t>
      </w:r>
      <w:r>
        <w:rPr>
          <w:rFonts w:hint="default" w:ascii="Times New Roman" w:hAnsi="Times New Roman" w:cs="Times New Roman"/>
          <w:color w:val="000000"/>
          <w:kern w:val="2"/>
          <w:sz w:val="21"/>
          <w:szCs w:val="21"/>
          <w:lang w:eastAsia="zh-CN"/>
        </w:rPr>
        <w:t>L的样品，</w:t>
      </w:r>
      <w:r>
        <w:rPr>
          <w:rFonts w:hint="default" w:ascii="Times New Roman" w:hAnsi="Times New Roman" w:cs="Times New Roman"/>
          <w:color w:val="000000"/>
          <w:kern w:val="2"/>
          <w:sz w:val="21"/>
          <w:szCs w:val="21"/>
          <w:lang w:val="en-US" w:eastAsia="zh-CN"/>
        </w:rPr>
        <w:t>其中</w:t>
      </w:r>
      <w:r>
        <w:rPr>
          <w:rFonts w:hint="default" w:ascii="Times New Roman" w:hAnsi="Times New Roman" w:cs="Times New Roman"/>
          <w:color w:val="000000"/>
          <w:kern w:val="2"/>
          <w:sz w:val="21"/>
          <w:szCs w:val="21"/>
          <w:lang w:eastAsia="zh-CN"/>
        </w:rPr>
        <w:t>1L为检验</w:t>
      </w:r>
      <w:r>
        <w:rPr>
          <w:rFonts w:hint="default" w:ascii="Times New Roman" w:hAnsi="Times New Roman" w:cs="Times New Roman"/>
          <w:color w:val="000000"/>
          <w:kern w:val="2"/>
          <w:sz w:val="21"/>
          <w:szCs w:val="21"/>
          <w:lang w:val="en-US" w:eastAsia="zh-CN"/>
        </w:rPr>
        <w:t>用</w:t>
      </w:r>
      <w:r>
        <w:rPr>
          <w:rFonts w:hint="default" w:ascii="Times New Roman" w:hAnsi="Times New Roman" w:cs="Times New Roman"/>
          <w:color w:val="000000"/>
          <w:kern w:val="2"/>
          <w:sz w:val="21"/>
          <w:szCs w:val="21"/>
          <w:lang w:eastAsia="zh-CN"/>
        </w:rPr>
        <w:t>样品，</w:t>
      </w:r>
      <w:r>
        <w:rPr>
          <w:rFonts w:hint="default" w:ascii="Times New Roman" w:hAnsi="Times New Roman" w:cs="Times New Roman"/>
          <w:color w:val="000000"/>
          <w:kern w:val="2"/>
          <w:sz w:val="21"/>
          <w:szCs w:val="21"/>
          <w:lang w:val="en-US" w:eastAsia="zh-CN"/>
        </w:rPr>
        <w:t>另</w:t>
      </w:r>
      <w:r>
        <w:rPr>
          <w:rFonts w:hint="default" w:ascii="Times New Roman" w:hAnsi="Times New Roman" w:cs="Times New Roman"/>
          <w:color w:val="000000"/>
          <w:kern w:val="2"/>
          <w:sz w:val="21"/>
          <w:szCs w:val="21"/>
          <w:lang w:eastAsia="zh-CN"/>
        </w:rPr>
        <w:t>0.5L为备用样品。</w:t>
      </w:r>
    </w:p>
    <w:p w14:paraId="38E18FF0">
      <w:pPr>
        <w:widowControl w:val="0"/>
        <w:snapToGrid w:val="0"/>
        <w:spacing w:after="0" w:line="240" w:lineRule="auto"/>
        <w:jc w:val="both"/>
        <w:rPr>
          <w:rFonts w:hint="eastAsia" w:ascii="黑体" w:hAnsi="宋体" w:eastAsia="黑体" w:cs="Times New Roman"/>
          <w:color w:val="000000"/>
          <w:kern w:val="2"/>
          <w:sz w:val="21"/>
          <w:szCs w:val="21"/>
          <w:lang w:eastAsia="zh-CN"/>
        </w:rPr>
      </w:pPr>
    </w:p>
    <w:p w14:paraId="4DE063BE">
      <w:pPr>
        <w:widowControl w:val="0"/>
        <w:snapToGrid w:val="0"/>
        <w:spacing w:after="0" w:line="440" w:lineRule="exact"/>
        <w:jc w:val="both"/>
        <w:rPr>
          <w:rFonts w:hint="eastAsia" w:ascii="黑体" w:hAnsi="宋体" w:eastAsia="黑体" w:cs="Times New Roman"/>
          <w:color w:val="000000"/>
          <w:kern w:val="2"/>
          <w:sz w:val="21"/>
          <w:szCs w:val="21"/>
          <w:lang w:eastAsia="zh-CN"/>
        </w:rPr>
      </w:pPr>
      <w:r>
        <w:rPr>
          <w:rFonts w:hint="eastAsia" w:ascii="黑体" w:hAnsi="宋体" w:eastAsia="黑体" w:cs="Times New Roman"/>
          <w:color w:val="000000"/>
          <w:kern w:val="2"/>
          <w:sz w:val="21"/>
          <w:szCs w:val="21"/>
          <w:lang w:eastAsia="zh-CN"/>
        </w:rPr>
        <w:t>2 检验依据</w:t>
      </w:r>
    </w:p>
    <w:p w14:paraId="5B5E45DD">
      <w:pPr>
        <w:widowControl w:val="0"/>
        <w:snapToGrid w:val="0"/>
        <w:spacing w:after="0" w:line="240" w:lineRule="auto"/>
        <w:ind w:firstLine="420" w:firstLineChars="200"/>
        <w:jc w:val="both"/>
        <w:rPr>
          <w:rFonts w:hint="eastAsia" w:ascii="宋体" w:hAnsi="宋体" w:cs="Times New Roman"/>
          <w:color w:val="000000"/>
          <w:kern w:val="2"/>
          <w:sz w:val="21"/>
          <w:szCs w:val="21"/>
          <w:lang w:eastAsia="zh-CN"/>
        </w:rPr>
      </w:pPr>
    </w:p>
    <w:tbl>
      <w:tblPr>
        <w:tblStyle w:val="34"/>
        <w:tblW w:w="51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9"/>
        <w:gridCol w:w="3116"/>
        <w:gridCol w:w="2269"/>
        <w:gridCol w:w="2840"/>
      </w:tblGrid>
      <w:tr w14:paraId="0D272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468" w:type="pct"/>
            <w:noWrap w:val="0"/>
            <w:tcMar>
              <w:top w:w="-1" w:type="dxa"/>
              <w:left w:w="-1" w:type="dxa"/>
              <w:bottom w:w="-1" w:type="dxa"/>
              <w:right w:w="-1" w:type="dxa"/>
            </w:tcMar>
            <w:vAlign w:val="center"/>
          </w:tcPr>
          <w:p w14:paraId="10FF006E">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rPr>
            </w:pPr>
            <w:r>
              <w:rPr>
                <w:rFonts w:hint="default" w:ascii="Times New Roman" w:hAnsi="Times New Roman" w:eastAsia="宋体" w:cs="Times New Roman"/>
                <w:b w:val="0"/>
                <w:bCs/>
                <w:sz w:val="21"/>
              </w:rPr>
              <w:t>序号</w:t>
            </w:r>
          </w:p>
        </w:tc>
        <w:tc>
          <w:tcPr>
            <w:tcW w:w="1717" w:type="pct"/>
            <w:noWrap w:val="0"/>
            <w:tcMar>
              <w:top w:w="-1" w:type="dxa"/>
              <w:left w:w="-1" w:type="dxa"/>
              <w:bottom w:w="-1" w:type="dxa"/>
              <w:right w:w="-1" w:type="dxa"/>
            </w:tcMar>
            <w:vAlign w:val="center"/>
          </w:tcPr>
          <w:p w14:paraId="424BB7F0">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rPr>
            </w:pPr>
            <w:r>
              <w:rPr>
                <w:rFonts w:hint="default" w:ascii="Times New Roman" w:hAnsi="Times New Roman" w:eastAsia="宋体" w:cs="Times New Roman"/>
                <w:b w:val="0"/>
                <w:bCs/>
                <w:sz w:val="21"/>
              </w:rPr>
              <w:t>检验项目</w:t>
            </w:r>
          </w:p>
        </w:tc>
        <w:tc>
          <w:tcPr>
            <w:tcW w:w="1250" w:type="pct"/>
            <w:noWrap w:val="0"/>
            <w:tcMar>
              <w:top w:w="-1" w:type="dxa"/>
              <w:left w:w="-1" w:type="dxa"/>
              <w:bottom w:w="-1" w:type="dxa"/>
              <w:right w:w="-1" w:type="dxa"/>
            </w:tcMar>
            <w:vAlign w:val="center"/>
          </w:tcPr>
          <w:p w14:paraId="4D820D3A">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rPr>
            </w:pPr>
            <w:r>
              <w:rPr>
                <w:rFonts w:hint="default" w:ascii="Times New Roman" w:hAnsi="Times New Roman" w:eastAsia="宋体" w:cs="Times New Roman"/>
                <w:b w:val="0"/>
                <w:bCs/>
                <w:sz w:val="21"/>
              </w:rPr>
              <w:t>检验依据</w:t>
            </w:r>
          </w:p>
        </w:tc>
        <w:tc>
          <w:tcPr>
            <w:tcW w:w="1562" w:type="pct"/>
            <w:noWrap w:val="0"/>
            <w:tcMar>
              <w:top w:w="-1" w:type="dxa"/>
              <w:left w:w="-1" w:type="dxa"/>
              <w:bottom w:w="-1" w:type="dxa"/>
              <w:right w:w="-1" w:type="dxa"/>
            </w:tcMar>
            <w:vAlign w:val="center"/>
          </w:tcPr>
          <w:p w14:paraId="02667DEE">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rPr>
            </w:pPr>
            <w:r>
              <w:rPr>
                <w:rFonts w:hint="default" w:ascii="Times New Roman" w:hAnsi="Times New Roman" w:eastAsia="宋体" w:cs="Times New Roman"/>
                <w:b w:val="0"/>
                <w:bCs/>
                <w:sz w:val="21"/>
              </w:rPr>
              <w:t>检验方法</w:t>
            </w:r>
          </w:p>
        </w:tc>
      </w:tr>
      <w:tr w14:paraId="2D782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68"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1BD99341">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rPr>
            </w:pPr>
            <w:r>
              <w:rPr>
                <w:rFonts w:hint="default" w:ascii="Times New Roman" w:hAnsi="Times New Roman" w:eastAsia="宋体" w:cs="Times New Roman"/>
                <w:b w:val="0"/>
                <w:bCs/>
                <w:sz w:val="21"/>
              </w:rPr>
              <w:t>1</w:t>
            </w:r>
          </w:p>
        </w:tc>
        <w:tc>
          <w:tcPr>
            <w:tcW w:w="1717"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0D9660A3">
            <w:pPr>
              <w:snapToGrid w:val="0"/>
              <w:spacing w:before="0" w:after="0" w:line="240" w:lineRule="auto"/>
              <w:ind w:left="0" w:leftChars="0" w:right="0" w:rightChars="0" w:firstLine="0" w:firstLineChars="0"/>
              <w:jc w:val="center"/>
              <w:rPr>
                <w:rFonts w:hint="eastAsia" w:ascii="Times New Roman" w:hAnsi="Times New Roman" w:eastAsia="宋体" w:cs="Times New Roman"/>
                <w:b w:val="0"/>
                <w:bCs/>
                <w:sz w:val="21"/>
                <w:lang w:val="en-US" w:eastAsia="zh-CN"/>
              </w:rPr>
            </w:pPr>
            <w:r>
              <w:rPr>
                <w:rFonts w:hint="default" w:ascii="Times New Roman" w:hAnsi="Times New Roman" w:eastAsia="宋体" w:cs="Times New Roman"/>
                <w:b w:val="0"/>
                <w:bCs/>
                <w:sz w:val="21"/>
              </w:rPr>
              <w:t>倾点</w:t>
            </w:r>
            <w:r>
              <w:rPr>
                <w:rFonts w:hint="eastAsia" w:ascii="Times New Roman" w:hAnsi="Times New Roman" w:cs="Times New Roman"/>
                <w:b w:val="0"/>
                <w:bCs/>
                <w:sz w:val="21"/>
                <w:vertAlign w:val="superscript"/>
                <w:lang w:val="en-US" w:eastAsia="zh-CN"/>
              </w:rPr>
              <w:t>#</w:t>
            </w:r>
          </w:p>
        </w:tc>
        <w:tc>
          <w:tcPr>
            <w:tcW w:w="1250"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515B705B">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rPr>
            </w:pPr>
            <w:r>
              <w:rPr>
                <w:rFonts w:hint="default" w:ascii="Times New Roman" w:hAnsi="Times New Roman" w:eastAsia="宋体" w:cs="Times New Roman"/>
                <w:b w:val="0"/>
                <w:bCs/>
                <w:sz w:val="21"/>
              </w:rPr>
              <w:t>GB 19592—2019</w:t>
            </w:r>
          </w:p>
        </w:tc>
        <w:tc>
          <w:tcPr>
            <w:tcW w:w="1562"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02C433F5">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rPr>
            </w:pPr>
            <w:r>
              <w:rPr>
                <w:rFonts w:hint="default" w:ascii="Times New Roman" w:hAnsi="Times New Roman" w:eastAsia="宋体" w:cs="Times New Roman"/>
                <w:b w:val="0"/>
                <w:bCs/>
                <w:sz w:val="21"/>
              </w:rPr>
              <w:t>GB/T 3535—2025</w:t>
            </w:r>
          </w:p>
        </w:tc>
      </w:tr>
      <w:tr w14:paraId="5D2A9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68"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21164C18">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rPr>
            </w:pPr>
            <w:r>
              <w:rPr>
                <w:rFonts w:hint="default" w:ascii="Times New Roman" w:hAnsi="Times New Roman" w:eastAsia="宋体" w:cs="Times New Roman"/>
                <w:b w:val="0"/>
                <w:bCs/>
                <w:sz w:val="21"/>
              </w:rPr>
              <w:t>2</w:t>
            </w:r>
          </w:p>
        </w:tc>
        <w:tc>
          <w:tcPr>
            <w:tcW w:w="1717"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6066C8D8">
            <w:pPr>
              <w:snapToGrid w:val="0"/>
              <w:spacing w:before="0" w:after="0" w:line="240" w:lineRule="auto"/>
              <w:ind w:left="0" w:leftChars="0" w:right="0" w:rightChars="0" w:firstLine="0" w:firstLineChars="0"/>
              <w:jc w:val="center"/>
              <w:rPr>
                <w:rFonts w:hint="eastAsia" w:ascii="Times New Roman" w:hAnsi="Times New Roman" w:eastAsia="宋体" w:cs="Times New Roman"/>
                <w:b w:val="0"/>
                <w:bCs/>
                <w:sz w:val="21"/>
                <w:lang w:eastAsia="zh-CN"/>
              </w:rPr>
            </w:pPr>
            <w:r>
              <w:rPr>
                <w:rFonts w:hint="default" w:ascii="Times New Roman" w:hAnsi="Times New Roman" w:eastAsia="宋体" w:cs="Times New Roman"/>
                <w:b w:val="0"/>
                <w:bCs/>
                <w:sz w:val="21"/>
              </w:rPr>
              <w:t>闪点</w:t>
            </w:r>
            <w:r>
              <w:rPr>
                <w:rFonts w:hint="eastAsia" w:ascii="Times New Roman" w:hAnsi="Times New Roman" w:cs="Times New Roman"/>
                <w:b w:val="0"/>
                <w:bCs/>
                <w:sz w:val="21"/>
                <w:lang w:eastAsia="zh-CN"/>
              </w:rPr>
              <w:t>（</w:t>
            </w:r>
            <w:r>
              <w:rPr>
                <w:rFonts w:hint="default" w:ascii="Times New Roman" w:hAnsi="Times New Roman" w:eastAsia="宋体" w:cs="Times New Roman"/>
                <w:b w:val="0"/>
                <w:bCs/>
                <w:sz w:val="21"/>
              </w:rPr>
              <w:t>闭口</w:t>
            </w:r>
            <w:r>
              <w:rPr>
                <w:rFonts w:hint="eastAsia" w:ascii="Times New Roman" w:hAnsi="Times New Roman" w:cs="Times New Roman"/>
                <w:b w:val="0"/>
                <w:bCs/>
                <w:sz w:val="21"/>
                <w:lang w:eastAsia="zh-CN"/>
              </w:rPr>
              <w:t>）</w:t>
            </w:r>
            <w:r>
              <w:rPr>
                <w:rFonts w:hint="eastAsia" w:ascii="Times New Roman" w:hAnsi="Times New Roman" w:cs="Times New Roman"/>
                <w:b w:val="0"/>
                <w:bCs/>
                <w:sz w:val="21"/>
                <w:vertAlign w:val="superscript"/>
                <w:lang w:val="en-US" w:eastAsia="zh-CN"/>
              </w:rPr>
              <w:t>#</w:t>
            </w:r>
          </w:p>
        </w:tc>
        <w:tc>
          <w:tcPr>
            <w:tcW w:w="1250"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2803564E">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rPr>
            </w:pPr>
            <w:r>
              <w:rPr>
                <w:rFonts w:hint="default" w:ascii="Times New Roman" w:hAnsi="Times New Roman" w:eastAsia="宋体" w:cs="Times New Roman"/>
                <w:b w:val="0"/>
                <w:bCs/>
                <w:sz w:val="21"/>
              </w:rPr>
              <w:t>GB 19592—2019</w:t>
            </w:r>
          </w:p>
        </w:tc>
        <w:tc>
          <w:tcPr>
            <w:tcW w:w="1562"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2B76E7EF">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rPr>
            </w:pPr>
            <w:r>
              <w:rPr>
                <w:rFonts w:hint="default" w:ascii="Times New Roman" w:hAnsi="Times New Roman" w:eastAsia="宋体" w:cs="Times New Roman"/>
                <w:b w:val="0"/>
                <w:bCs/>
                <w:sz w:val="21"/>
              </w:rPr>
              <w:t>GB/T 261—2021</w:t>
            </w:r>
          </w:p>
        </w:tc>
      </w:tr>
      <w:tr w14:paraId="52B67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68"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07A1D33B">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rPr>
            </w:pPr>
            <w:r>
              <w:rPr>
                <w:rFonts w:hint="default" w:ascii="Times New Roman" w:hAnsi="Times New Roman" w:eastAsia="宋体" w:cs="Times New Roman"/>
                <w:b w:val="0"/>
                <w:bCs/>
                <w:sz w:val="21"/>
              </w:rPr>
              <w:t>3</w:t>
            </w:r>
          </w:p>
        </w:tc>
        <w:tc>
          <w:tcPr>
            <w:tcW w:w="1717"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2207DC41">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rPr>
            </w:pPr>
            <w:r>
              <w:rPr>
                <w:rFonts w:hint="default" w:ascii="Times New Roman" w:hAnsi="Times New Roman" w:eastAsia="宋体" w:cs="Times New Roman"/>
                <w:b w:val="0"/>
                <w:bCs/>
                <w:sz w:val="21"/>
              </w:rPr>
              <w:t>破乳性</w:t>
            </w:r>
            <w:r>
              <w:rPr>
                <w:rFonts w:hint="eastAsia" w:ascii="Times New Roman" w:hAnsi="Times New Roman" w:cs="Times New Roman"/>
                <w:b w:val="0"/>
                <w:bCs/>
                <w:sz w:val="21"/>
                <w:vertAlign w:val="superscript"/>
                <w:lang w:val="en-US" w:eastAsia="zh-CN"/>
              </w:rPr>
              <w:t>#</w:t>
            </w:r>
          </w:p>
        </w:tc>
        <w:tc>
          <w:tcPr>
            <w:tcW w:w="1250"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3053E9C1">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rPr>
            </w:pPr>
            <w:r>
              <w:rPr>
                <w:rFonts w:hint="default" w:ascii="Times New Roman" w:hAnsi="Times New Roman" w:eastAsia="宋体" w:cs="Times New Roman"/>
                <w:b w:val="0"/>
                <w:bCs/>
                <w:sz w:val="21"/>
              </w:rPr>
              <w:t>GB 19592—2019</w:t>
            </w:r>
          </w:p>
        </w:tc>
        <w:tc>
          <w:tcPr>
            <w:tcW w:w="1562"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46B06C86">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rPr>
            </w:pPr>
            <w:r>
              <w:rPr>
                <w:rFonts w:hint="default" w:ascii="Times New Roman" w:hAnsi="Times New Roman" w:eastAsia="宋体" w:cs="Times New Roman"/>
                <w:b w:val="0"/>
                <w:bCs/>
                <w:sz w:val="21"/>
              </w:rPr>
              <w:t>GB/T 19230.2—2003</w:t>
            </w:r>
          </w:p>
        </w:tc>
      </w:tr>
      <w:tr w14:paraId="3B3B1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68"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75DA1623">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rPr>
            </w:pPr>
            <w:r>
              <w:rPr>
                <w:rFonts w:hint="default" w:ascii="Times New Roman" w:hAnsi="Times New Roman" w:eastAsia="宋体" w:cs="Times New Roman"/>
                <w:b w:val="0"/>
                <w:bCs/>
                <w:sz w:val="21"/>
              </w:rPr>
              <w:t>4</w:t>
            </w:r>
          </w:p>
        </w:tc>
        <w:tc>
          <w:tcPr>
            <w:tcW w:w="1717"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7D028C33">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rPr>
            </w:pPr>
            <w:r>
              <w:rPr>
                <w:rFonts w:hint="default" w:ascii="Times New Roman" w:hAnsi="Times New Roman" w:eastAsia="宋体" w:cs="Times New Roman"/>
                <w:b w:val="0"/>
                <w:bCs/>
                <w:sz w:val="21"/>
              </w:rPr>
              <w:t>防锈性</w:t>
            </w:r>
          </w:p>
        </w:tc>
        <w:tc>
          <w:tcPr>
            <w:tcW w:w="1250"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0CE473F4">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rPr>
            </w:pPr>
            <w:r>
              <w:rPr>
                <w:rFonts w:hint="default" w:ascii="Times New Roman" w:hAnsi="Times New Roman" w:eastAsia="宋体" w:cs="Times New Roman"/>
                <w:b w:val="0"/>
                <w:bCs/>
                <w:sz w:val="21"/>
              </w:rPr>
              <w:t>GB 19592—2019</w:t>
            </w:r>
          </w:p>
        </w:tc>
        <w:tc>
          <w:tcPr>
            <w:tcW w:w="1562"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78963F0B">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lang w:val="en-US" w:eastAsia="zh-CN"/>
              </w:rPr>
            </w:pPr>
            <w:r>
              <w:rPr>
                <w:rFonts w:hint="default" w:ascii="Times New Roman" w:hAnsi="Times New Roman" w:eastAsia="宋体" w:cs="Times New Roman"/>
                <w:b w:val="0"/>
                <w:bCs/>
                <w:sz w:val="21"/>
              </w:rPr>
              <w:t>GB/T 19230.1—</w:t>
            </w:r>
            <w:r>
              <w:rPr>
                <w:rFonts w:hint="eastAsia" w:ascii="Times New Roman" w:hAnsi="Times New Roman" w:cs="Times New Roman"/>
                <w:b w:val="0"/>
                <w:bCs/>
                <w:sz w:val="21"/>
                <w:lang w:val="en-US" w:eastAsia="zh-CN"/>
              </w:rPr>
              <w:t>2025</w:t>
            </w:r>
          </w:p>
        </w:tc>
      </w:tr>
      <w:tr w14:paraId="70E36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68"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0FEEA624">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rPr>
            </w:pPr>
            <w:r>
              <w:rPr>
                <w:rFonts w:hint="default" w:ascii="Times New Roman" w:hAnsi="Times New Roman" w:eastAsia="宋体" w:cs="Times New Roman"/>
                <w:b w:val="0"/>
                <w:bCs/>
                <w:sz w:val="21"/>
              </w:rPr>
              <w:t>5</w:t>
            </w:r>
          </w:p>
        </w:tc>
        <w:tc>
          <w:tcPr>
            <w:tcW w:w="1717"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6A3D3B7C">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rPr>
            </w:pPr>
            <w:r>
              <w:rPr>
                <w:rFonts w:hint="default" w:ascii="Times New Roman" w:hAnsi="Times New Roman" w:eastAsia="宋体" w:cs="Times New Roman"/>
                <w:b w:val="0"/>
                <w:bCs/>
                <w:sz w:val="21"/>
              </w:rPr>
              <w:t>硫含量</w:t>
            </w:r>
          </w:p>
        </w:tc>
        <w:tc>
          <w:tcPr>
            <w:tcW w:w="1250"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579EC6CF">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rPr>
            </w:pPr>
            <w:r>
              <w:rPr>
                <w:rFonts w:hint="default" w:ascii="Times New Roman" w:hAnsi="Times New Roman" w:eastAsia="宋体" w:cs="Times New Roman"/>
                <w:b w:val="0"/>
                <w:bCs/>
                <w:sz w:val="21"/>
              </w:rPr>
              <w:t>GB 19592—2019</w:t>
            </w:r>
          </w:p>
        </w:tc>
        <w:tc>
          <w:tcPr>
            <w:tcW w:w="1562"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02FB660C">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rPr>
            </w:pPr>
            <w:r>
              <w:rPr>
                <w:rFonts w:hint="default" w:ascii="Times New Roman" w:hAnsi="Times New Roman" w:eastAsia="宋体" w:cs="Times New Roman"/>
                <w:b w:val="0"/>
                <w:bCs/>
                <w:sz w:val="21"/>
              </w:rPr>
              <w:t>SH/T 0689—2000</w:t>
            </w:r>
            <w:r>
              <w:rPr>
                <w:rFonts w:hint="default" w:ascii="Times New Roman" w:hAnsi="Times New Roman" w:eastAsia="宋体" w:cs="Times New Roman"/>
                <w:b w:val="0"/>
                <w:bCs/>
                <w:sz w:val="21"/>
              </w:rPr>
              <w:br w:type="textWrapping"/>
            </w:r>
            <w:r>
              <w:rPr>
                <w:rFonts w:hint="default" w:ascii="Times New Roman" w:hAnsi="Times New Roman" w:eastAsia="宋体" w:cs="Times New Roman"/>
                <w:b w:val="0"/>
                <w:bCs/>
                <w:sz w:val="21"/>
              </w:rPr>
              <w:t>GB/T 11140—2008</w:t>
            </w:r>
            <w:r>
              <w:rPr>
                <w:rFonts w:hint="default" w:ascii="Times New Roman" w:hAnsi="Times New Roman" w:eastAsia="宋体" w:cs="Times New Roman"/>
                <w:b w:val="0"/>
                <w:bCs/>
                <w:sz w:val="21"/>
              </w:rPr>
              <w:br w:type="textWrapping"/>
            </w:r>
            <w:r>
              <w:rPr>
                <w:rFonts w:hint="default" w:ascii="Times New Roman" w:hAnsi="Times New Roman" w:eastAsia="宋体" w:cs="Times New Roman"/>
                <w:b w:val="0"/>
                <w:bCs/>
                <w:sz w:val="21"/>
              </w:rPr>
              <w:t>NB/SH/T 0253—2021</w:t>
            </w:r>
            <w:r>
              <w:rPr>
                <w:rFonts w:hint="default" w:ascii="Times New Roman" w:hAnsi="Times New Roman" w:eastAsia="宋体" w:cs="Times New Roman"/>
                <w:b w:val="0"/>
                <w:bCs/>
                <w:sz w:val="21"/>
              </w:rPr>
              <w:br w:type="textWrapping"/>
            </w:r>
            <w:r>
              <w:rPr>
                <w:rFonts w:hint="default" w:ascii="Times New Roman" w:hAnsi="Times New Roman" w:eastAsia="宋体" w:cs="Times New Roman"/>
                <w:b w:val="0"/>
                <w:bCs/>
                <w:sz w:val="21"/>
              </w:rPr>
              <w:t>NB/SH/T 0842—2017</w:t>
            </w:r>
          </w:p>
        </w:tc>
      </w:tr>
      <w:tr w14:paraId="11694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68"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7DF9CD91">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rPr>
            </w:pPr>
            <w:r>
              <w:rPr>
                <w:rFonts w:hint="default" w:ascii="Times New Roman" w:hAnsi="Times New Roman" w:eastAsia="宋体" w:cs="Times New Roman"/>
                <w:b w:val="0"/>
                <w:bCs/>
                <w:sz w:val="21"/>
              </w:rPr>
              <w:t>6</w:t>
            </w:r>
          </w:p>
        </w:tc>
        <w:tc>
          <w:tcPr>
            <w:tcW w:w="1717"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651B698C">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rPr>
            </w:pPr>
            <w:r>
              <w:rPr>
                <w:rFonts w:hint="default" w:ascii="Times New Roman" w:hAnsi="Times New Roman" w:eastAsia="宋体" w:cs="Times New Roman"/>
                <w:b w:val="0"/>
                <w:bCs/>
                <w:sz w:val="21"/>
              </w:rPr>
              <w:t>氯含量</w:t>
            </w:r>
          </w:p>
        </w:tc>
        <w:tc>
          <w:tcPr>
            <w:tcW w:w="1250"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2A19D9D7">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rPr>
            </w:pPr>
            <w:r>
              <w:rPr>
                <w:rFonts w:hint="default" w:ascii="Times New Roman" w:hAnsi="Times New Roman" w:eastAsia="宋体" w:cs="Times New Roman"/>
                <w:b w:val="0"/>
                <w:bCs/>
                <w:sz w:val="21"/>
              </w:rPr>
              <w:t>GB 19592—2019</w:t>
            </w:r>
          </w:p>
        </w:tc>
        <w:tc>
          <w:tcPr>
            <w:tcW w:w="1562"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015EF891">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rPr>
            </w:pPr>
            <w:r>
              <w:rPr>
                <w:rFonts w:hint="default" w:ascii="Times New Roman" w:hAnsi="Times New Roman" w:eastAsia="宋体" w:cs="Times New Roman"/>
                <w:b w:val="0"/>
                <w:bCs/>
                <w:sz w:val="21"/>
              </w:rPr>
              <w:t>SH/T 1147—2025</w:t>
            </w:r>
          </w:p>
        </w:tc>
      </w:tr>
      <w:tr w14:paraId="7F229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468"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6680CB15">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rPr>
            </w:pPr>
            <w:r>
              <w:rPr>
                <w:rFonts w:hint="default" w:ascii="Times New Roman" w:hAnsi="Times New Roman" w:eastAsia="宋体" w:cs="Times New Roman"/>
                <w:b w:val="0"/>
                <w:bCs/>
                <w:sz w:val="21"/>
              </w:rPr>
              <w:t>7</w:t>
            </w:r>
          </w:p>
        </w:tc>
        <w:tc>
          <w:tcPr>
            <w:tcW w:w="1717"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0A68CBF3">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rPr>
            </w:pPr>
            <w:r>
              <w:rPr>
                <w:rFonts w:hint="default" w:ascii="Times New Roman" w:hAnsi="Times New Roman" w:eastAsia="宋体" w:cs="Times New Roman"/>
                <w:b w:val="0"/>
                <w:bCs/>
                <w:sz w:val="21"/>
              </w:rPr>
              <w:t>模拟进气阀沉积物质量</w:t>
            </w:r>
          </w:p>
        </w:tc>
        <w:tc>
          <w:tcPr>
            <w:tcW w:w="1250"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44FE1ACA">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rPr>
            </w:pPr>
            <w:r>
              <w:rPr>
                <w:rFonts w:hint="default" w:ascii="Times New Roman" w:hAnsi="Times New Roman" w:eastAsia="宋体" w:cs="Times New Roman"/>
                <w:b w:val="0"/>
                <w:bCs/>
                <w:sz w:val="21"/>
              </w:rPr>
              <w:t>GB 19592—2019</w:t>
            </w:r>
          </w:p>
        </w:tc>
        <w:tc>
          <w:tcPr>
            <w:tcW w:w="1562"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58E4920C">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rPr>
            </w:pPr>
            <w:r>
              <w:rPr>
                <w:rFonts w:hint="default" w:ascii="Times New Roman" w:hAnsi="Times New Roman" w:eastAsia="宋体" w:cs="Times New Roman"/>
                <w:b w:val="0"/>
                <w:bCs/>
                <w:sz w:val="21"/>
              </w:rPr>
              <w:t>GB/T 37322—2019</w:t>
            </w:r>
          </w:p>
        </w:tc>
      </w:tr>
      <w:tr w14:paraId="0493C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5000" w:type="pct"/>
            <w:gridSpan w:val="4"/>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00E7A76E">
            <w:pPr>
              <w:snapToGrid w:val="0"/>
              <w:spacing w:before="0" w:after="0" w:line="240" w:lineRule="auto"/>
              <w:ind w:left="0" w:leftChars="0" w:right="0" w:rightChars="0" w:firstLine="0" w:firstLineChars="0"/>
              <w:jc w:val="both"/>
              <w:rPr>
                <w:rFonts w:hint="eastAsia" w:ascii="Times New Roman" w:hAnsi="Times New Roman" w:eastAsia="宋体" w:cs="Times New Roman"/>
                <w:b w:val="0"/>
                <w:bCs/>
                <w:sz w:val="21"/>
                <w:lang w:val="en-US" w:eastAsia="zh-CN"/>
              </w:rPr>
            </w:pPr>
            <w:r>
              <w:rPr>
                <w:rFonts w:hint="eastAsia" w:ascii="Times New Roman" w:hAnsi="Times New Roman" w:cs="Times New Roman"/>
                <w:b w:val="0"/>
                <w:bCs/>
                <w:sz w:val="21"/>
                <w:lang w:val="en-US" w:eastAsia="zh-CN"/>
              </w:rPr>
              <w:t>注：</w:t>
            </w:r>
            <w:r>
              <w:rPr>
                <w:rFonts w:hint="eastAsia" w:ascii="Times New Roman" w:hAnsi="Times New Roman" w:cs="Times New Roman"/>
                <w:b w:val="0"/>
                <w:bCs/>
                <w:sz w:val="21"/>
                <w:szCs w:val="21"/>
                <w:lang w:val="en-US" w:eastAsia="zh-CN"/>
              </w:rPr>
              <w:t>#项为快筛项目，根据实际需要实施。</w:t>
            </w:r>
          </w:p>
        </w:tc>
      </w:tr>
    </w:tbl>
    <w:p w14:paraId="2197E3D4">
      <w:pPr>
        <w:widowControl w:val="0"/>
        <w:snapToGrid w:val="0"/>
        <w:spacing w:after="0" w:line="240" w:lineRule="auto"/>
        <w:ind w:firstLine="420" w:firstLineChars="200"/>
        <w:jc w:val="both"/>
        <w:rPr>
          <w:rFonts w:hint="eastAsia" w:ascii="宋体" w:hAnsi="宋体" w:cs="Times New Roman"/>
          <w:color w:val="000000"/>
          <w:kern w:val="2"/>
          <w:sz w:val="21"/>
          <w:szCs w:val="21"/>
          <w:lang w:eastAsia="zh-CN"/>
        </w:rPr>
      </w:pPr>
    </w:p>
    <w:p w14:paraId="1C4D4600">
      <w:pPr>
        <w:widowControl w:val="0"/>
        <w:snapToGrid w:val="0"/>
        <w:spacing w:after="0" w:line="440" w:lineRule="exact"/>
        <w:ind w:firstLine="420" w:firstLineChars="200"/>
        <w:jc w:val="both"/>
        <w:rPr>
          <w:rFonts w:hint="eastAsia" w:ascii="宋体" w:hAnsi="宋体" w:cs="Times New Roman"/>
          <w:color w:val="000000"/>
          <w:kern w:val="2"/>
          <w:sz w:val="21"/>
          <w:szCs w:val="21"/>
          <w:lang w:eastAsia="zh-CN"/>
        </w:rPr>
      </w:pPr>
      <w:r>
        <w:rPr>
          <w:rFonts w:hint="eastAsia" w:ascii="宋体" w:hAnsi="宋体" w:cs="Times New Roman"/>
          <w:color w:val="000000"/>
          <w:kern w:val="2"/>
          <w:sz w:val="21"/>
          <w:szCs w:val="21"/>
          <w:lang w:eastAsia="zh-CN"/>
        </w:rPr>
        <w:t>执行企业标准、团体标准、地方标准的产品，检验项目参照上述内容执行。</w:t>
      </w:r>
    </w:p>
    <w:p w14:paraId="7E0E079D">
      <w:pPr>
        <w:widowControl w:val="0"/>
        <w:snapToGrid w:val="0"/>
        <w:spacing w:after="0" w:line="440" w:lineRule="exact"/>
        <w:ind w:firstLine="420" w:firstLineChars="200"/>
        <w:jc w:val="both"/>
        <w:rPr>
          <w:rFonts w:hint="eastAsia" w:ascii="宋体" w:hAnsi="宋体" w:cs="Times New Roman"/>
          <w:color w:val="000000"/>
          <w:kern w:val="2"/>
          <w:sz w:val="21"/>
          <w:szCs w:val="21"/>
          <w:lang w:eastAsia="zh-CN"/>
        </w:rPr>
      </w:pPr>
      <w:r>
        <w:rPr>
          <w:rFonts w:hint="eastAsia" w:ascii="宋体" w:hAnsi="宋体" w:cs="Times New Roman"/>
          <w:color w:val="000000"/>
          <w:kern w:val="2"/>
          <w:sz w:val="21"/>
          <w:szCs w:val="21"/>
          <w:lang w:eastAsia="zh-CN"/>
        </w:rPr>
        <w:t>凡是注日期的文件，其随后所有的修改单（不包括勘误的内容）或修订版不适用于本细则。凡是不注日期的文件，其最新版本适用于本细则。</w:t>
      </w:r>
    </w:p>
    <w:p w14:paraId="170DB4D5">
      <w:pPr>
        <w:spacing w:line="240" w:lineRule="auto"/>
        <w:rPr>
          <w:sz w:val="21"/>
          <w:szCs w:val="21"/>
        </w:rPr>
      </w:pPr>
    </w:p>
    <w:p w14:paraId="0A0B8B70">
      <w:pPr>
        <w:widowControl w:val="0"/>
        <w:snapToGrid w:val="0"/>
        <w:spacing w:after="0" w:line="440" w:lineRule="exact"/>
        <w:jc w:val="both"/>
        <w:rPr>
          <w:rFonts w:hint="eastAsia" w:ascii="黑体" w:hAnsi="宋体" w:eastAsia="黑体" w:cs="Times New Roman"/>
          <w:color w:val="000000"/>
          <w:kern w:val="2"/>
          <w:sz w:val="21"/>
          <w:szCs w:val="21"/>
          <w:lang w:eastAsia="zh-CN"/>
        </w:rPr>
      </w:pPr>
      <w:r>
        <w:rPr>
          <w:rFonts w:hint="eastAsia" w:ascii="黑体" w:hAnsi="宋体" w:eastAsia="黑体" w:cs="Times New Roman"/>
          <w:color w:val="000000"/>
          <w:kern w:val="2"/>
          <w:sz w:val="21"/>
          <w:szCs w:val="21"/>
          <w:lang w:eastAsia="zh-CN"/>
        </w:rPr>
        <w:t>3 判定规则</w:t>
      </w:r>
    </w:p>
    <w:p w14:paraId="3CF5EFAC">
      <w:pPr>
        <w:widowControl w:val="0"/>
        <w:snapToGrid w:val="0"/>
        <w:spacing w:after="0" w:line="440" w:lineRule="exact"/>
        <w:jc w:val="both"/>
        <w:rPr>
          <w:rFonts w:hint="default" w:ascii="Times New Roman" w:hAnsi="Times New Roman" w:cs="Times New Roman"/>
          <w:color w:val="000000"/>
          <w:kern w:val="2"/>
          <w:sz w:val="21"/>
          <w:szCs w:val="21"/>
          <w:lang w:eastAsia="zh-CN"/>
        </w:rPr>
      </w:pPr>
      <w:r>
        <w:rPr>
          <w:rFonts w:hint="default" w:ascii="Times New Roman" w:hAnsi="Times New Roman" w:cs="Times New Roman"/>
          <w:color w:val="000000"/>
          <w:kern w:val="2"/>
          <w:sz w:val="21"/>
          <w:szCs w:val="21"/>
          <w:lang w:eastAsia="zh-CN"/>
        </w:rPr>
        <w:t>3.1 依据标准</w:t>
      </w:r>
    </w:p>
    <w:p w14:paraId="7173FA93">
      <w:pPr>
        <w:widowControl w:val="0"/>
        <w:snapToGrid w:val="0"/>
        <w:spacing w:after="0" w:line="440" w:lineRule="exact"/>
        <w:ind w:firstLine="420" w:firstLineChars="200"/>
        <w:jc w:val="both"/>
        <w:rPr>
          <w:rFonts w:hint="default" w:ascii="Times New Roman" w:hAnsi="Times New Roman" w:cs="Times New Roman"/>
          <w:color w:val="000000"/>
          <w:kern w:val="2"/>
          <w:sz w:val="21"/>
          <w:szCs w:val="21"/>
          <w:lang w:eastAsia="zh-CN"/>
        </w:rPr>
      </w:pPr>
      <w:r>
        <w:rPr>
          <w:rFonts w:hint="default" w:ascii="Times New Roman" w:hAnsi="Times New Roman" w:cs="Times New Roman"/>
          <w:color w:val="000000"/>
          <w:kern w:val="2"/>
          <w:sz w:val="21"/>
          <w:szCs w:val="21"/>
          <w:lang w:eastAsia="zh-CN"/>
        </w:rPr>
        <w:t>GB 19592—2019 车用汽油清净剂</w:t>
      </w:r>
    </w:p>
    <w:p w14:paraId="5C6C6C54">
      <w:pPr>
        <w:widowControl w:val="0"/>
        <w:snapToGrid w:val="0"/>
        <w:spacing w:after="0" w:line="440" w:lineRule="exact"/>
        <w:ind w:firstLine="420" w:firstLineChars="200"/>
        <w:jc w:val="both"/>
        <w:rPr>
          <w:rFonts w:hint="default" w:ascii="Times New Roman" w:hAnsi="Times New Roman" w:cs="Times New Roman"/>
          <w:color w:val="000000"/>
          <w:kern w:val="2"/>
          <w:sz w:val="21"/>
          <w:szCs w:val="21"/>
          <w:lang w:eastAsia="zh-CN"/>
        </w:rPr>
      </w:pPr>
      <w:r>
        <w:rPr>
          <w:rFonts w:hint="default" w:ascii="Times New Roman" w:hAnsi="Times New Roman" w:cs="Times New Roman"/>
          <w:color w:val="000000"/>
          <w:kern w:val="2"/>
          <w:sz w:val="21"/>
          <w:szCs w:val="21"/>
          <w:lang w:eastAsia="zh-CN"/>
        </w:rPr>
        <w:t>现行有效的企业标准、团体标准、地方标准及产品明示质量要求</w:t>
      </w:r>
    </w:p>
    <w:p w14:paraId="512E66D3">
      <w:pPr>
        <w:widowControl w:val="0"/>
        <w:snapToGrid w:val="0"/>
        <w:spacing w:after="0" w:line="440" w:lineRule="exact"/>
        <w:jc w:val="both"/>
        <w:rPr>
          <w:rFonts w:hint="default" w:ascii="Times New Roman" w:hAnsi="Times New Roman" w:cs="Times New Roman"/>
          <w:color w:val="000000"/>
          <w:kern w:val="2"/>
          <w:sz w:val="21"/>
          <w:szCs w:val="21"/>
          <w:lang w:eastAsia="zh-CN"/>
        </w:rPr>
      </w:pPr>
      <w:r>
        <w:rPr>
          <w:rFonts w:hint="default" w:ascii="Times New Roman" w:hAnsi="Times New Roman" w:cs="Times New Roman"/>
          <w:color w:val="000000"/>
          <w:kern w:val="2"/>
          <w:sz w:val="21"/>
          <w:szCs w:val="21"/>
          <w:lang w:eastAsia="zh-CN"/>
        </w:rPr>
        <w:t>3.2 判定原则</w:t>
      </w:r>
    </w:p>
    <w:p w14:paraId="64A476CB">
      <w:pPr>
        <w:widowControl w:val="0"/>
        <w:snapToGrid w:val="0"/>
        <w:spacing w:after="0" w:line="440" w:lineRule="exact"/>
        <w:ind w:firstLine="420" w:firstLineChars="200"/>
        <w:jc w:val="both"/>
        <w:rPr>
          <w:rFonts w:hint="eastAsia" w:ascii="宋体" w:hAnsi="宋体" w:cs="Times New Roman"/>
          <w:color w:val="000000"/>
          <w:kern w:val="2"/>
          <w:sz w:val="21"/>
          <w:szCs w:val="21"/>
          <w:lang w:eastAsia="zh-CN"/>
        </w:rPr>
      </w:pPr>
      <w:r>
        <w:rPr>
          <w:rFonts w:hint="eastAsia" w:ascii="宋体" w:hAnsi="宋体" w:cs="Times New Roman"/>
          <w:color w:val="000000"/>
          <w:kern w:val="2"/>
          <w:sz w:val="21"/>
          <w:szCs w:val="21"/>
          <w:lang w:eastAsia="zh-CN"/>
        </w:rPr>
        <w:t>经检验，检验项目全部合格，判定为被抽查产品所检项目未发现不合格；检验项目中任一项或一项以上不合格，判定为被抽查产品不合格。</w:t>
      </w:r>
    </w:p>
    <w:p w14:paraId="07DB103D">
      <w:pPr>
        <w:widowControl w:val="0"/>
        <w:snapToGrid w:val="0"/>
        <w:spacing w:after="0" w:line="440" w:lineRule="exact"/>
        <w:ind w:firstLine="420" w:firstLineChars="200"/>
        <w:jc w:val="both"/>
        <w:rPr>
          <w:rFonts w:hint="eastAsia" w:ascii="宋体" w:hAnsi="宋体" w:cs="Times New Roman"/>
          <w:color w:val="000000"/>
          <w:kern w:val="2"/>
          <w:sz w:val="21"/>
          <w:szCs w:val="21"/>
          <w:lang w:eastAsia="zh-CN"/>
        </w:rPr>
      </w:pPr>
      <w:r>
        <w:rPr>
          <w:rFonts w:hint="eastAsia" w:ascii="宋体" w:hAnsi="宋体" w:cs="Times New Roman"/>
          <w:color w:val="000000"/>
          <w:kern w:val="2"/>
          <w:sz w:val="21"/>
          <w:szCs w:val="21"/>
          <w:lang w:eastAsia="zh-CN"/>
        </w:rPr>
        <w:t>若被检产品明示的质量要求高于本细则中检验项目依据的标准要求时，应按被检产品明示的质量要求判定。</w:t>
      </w:r>
    </w:p>
    <w:p w14:paraId="5E5125F2">
      <w:pPr>
        <w:widowControl w:val="0"/>
        <w:snapToGrid w:val="0"/>
        <w:spacing w:after="0" w:line="440" w:lineRule="exact"/>
        <w:ind w:firstLine="420" w:firstLineChars="200"/>
        <w:jc w:val="both"/>
        <w:rPr>
          <w:rFonts w:hint="eastAsia" w:ascii="宋体" w:hAnsi="宋体" w:cs="Times New Roman"/>
          <w:color w:val="000000"/>
          <w:kern w:val="2"/>
          <w:sz w:val="21"/>
          <w:szCs w:val="21"/>
          <w:lang w:eastAsia="zh-CN"/>
        </w:rPr>
      </w:pPr>
      <w:r>
        <w:rPr>
          <w:rFonts w:hint="eastAsia" w:ascii="宋体" w:hAnsi="宋体" w:cs="Times New Roman"/>
          <w:color w:val="000000"/>
          <w:kern w:val="2"/>
          <w:sz w:val="21"/>
          <w:szCs w:val="21"/>
          <w:lang w:eastAsia="zh-CN"/>
        </w:rPr>
        <w:t>若被检产品明示的质量要求低于本细则中检验项目依据的强制性标准要求时，应按照强制性标准要求判定。</w:t>
      </w:r>
    </w:p>
    <w:p w14:paraId="433A50EE">
      <w:pPr>
        <w:widowControl w:val="0"/>
        <w:snapToGrid w:val="0"/>
        <w:spacing w:after="0" w:line="440" w:lineRule="exact"/>
        <w:ind w:firstLine="420" w:firstLineChars="200"/>
        <w:jc w:val="both"/>
        <w:rPr>
          <w:rFonts w:hint="eastAsia" w:ascii="宋体" w:hAnsi="宋体" w:cs="Times New Roman"/>
          <w:color w:val="000000"/>
          <w:kern w:val="2"/>
          <w:sz w:val="21"/>
          <w:szCs w:val="21"/>
          <w:lang w:eastAsia="zh-CN"/>
        </w:rPr>
      </w:pPr>
      <w:r>
        <w:rPr>
          <w:rFonts w:hint="eastAsia" w:ascii="宋体" w:hAnsi="宋体" w:cs="Times New Roman"/>
          <w:color w:val="000000"/>
          <w:kern w:val="2"/>
          <w:sz w:val="21"/>
          <w:szCs w:val="21"/>
          <w:lang w:eastAsia="zh-CN"/>
        </w:rPr>
        <w:t>若被检产品明示的质量要求低于或包含本细则中检验项目依据的推荐性标准要求时，应以被检产品明示的质量要求判定。</w:t>
      </w:r>
    </w:p>
    <w:p w14:paraId="1ABC2246">
      <w:pPr>
        <w:widowControl w:val="0"/>
        <w:snapToGrid w:val="0"/>
        <w:spacing w:after="0" w:line="440" w:lineRule="exact"/>
        <w:ind w:firstLine="420" w:firstLineChars="200"/>
        <w:jc w:val="both"/>
        <w:rPr>
          <w:rFonts w:hint="eastAsia" w:ascii="宋体" w:hAnsi="宋体" w:cs="Times New Roman"/>
          <w:color w:val="000000"/>
          <w:kern w:val="2"/>
          <w:sz w:val="21"/>
          <w:szCs w:val="21"/>
          <w:lang w:eastAsia="zh-CN"/>
        </w:rPr>
      </w:pPr>
      <w:r>
        <w:rPr>
          <w:rFonts w:hint="eastAsia" w:ascii="宋体" w:hAnsi="宋体" w:cs="Times New Roman"/>
          <w:color w:val="000000"/>
          <w:kern w:val="2"/>
          <w:sz w:val="21"/>
          <w:szCs w:val="21"/>
          <w:lang w:eastAsia="zh-CN"/>
        </w:rPr>
        <w:t>若被检产品明示的质量要求缺少本细则中检验项目依据的强制性标准要求时，应按照强制性标准要求判定。</w:t>
      </w:r>
    </w:p>
    <w:p w14:paraId="0121FFFF">
      <w:pPr>
        <w:widowControl w:val="0"/>
        <w:snapToGrid w:val="0"/>
        <w:spacing w:after="0" w:line="440" w:lineRule="exact"/>
        <w:ind w:firstLine="420" w:firstLineChars="200"/>
        <w:jc w:val="both"/>
        <w:rPr>
          <w:rFonts w:hint="eastAsia" w:ascii="宋体" w:hAnsi="宋体" w:cs="Times New Roman"/>
          <w:color w:val="000000"/>
          <w:kern w:val="2"/>
          <w:sz w:val="21"/>
          <w:szCs w:val="21"/>
          <w:lang w:eastAsia="zh-CN"/>
        </w:rPr>
      </w:pPr>
      <w:r>
        <w:rPr>
          <w:rFonts w:hint="eastAsia" w:ascii="宋体" w:hAnsi="宋体" w:cs="Times New Roman"/>
          <w:color w:val="000000"/>
          <w:kern w:val="2"/>
          <w:sz w:val="21"/>
          <w:szCs w:val="21"/>
          <w:lang w:eastAsia="zh-CN"/>
        </w:rPr>
        <w:t>若被检产品明示的质量要求缺少本细则中检验项目依据的推荐性标准要求时，该项目不参与判定。</w:t>
      </w: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DD3A9ACC-45AA-4A36-87F8-C91E62C7D78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embedRegular r:id="rId2" w:fontKey="{8FE4C036-B937-4735-8951-0AD4A84453D1}"/>
  </w:font>
  <w:font w:name="ＭＳ 明朝">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方正小标宋简体">
    <w:panose1 w:val="02000000000000000000"/>
    <w:charset w:val="86"/>
    <w:family w:val="auto"/>
    <w:pitch w:val="default"/>
    <w:sig w:usb0="00000001" w:usb1="080E0000" w:usb2="00000000" w:usb3="00000000" w:csb0="00040000" w:csb1="00000000"/>
    <w:embedRegular r:id="rId3" w:fontKey="{33E045F0-ECB7-48CA-96F7-BC155F5C7D5E}"/>
  </w:font>
  <w:font w:name="仿宋">
    <w:panose1 w:val="02010609060101010101"/>
    <w:charset w:val="86"/>
    <w:family w:val="modern"/>
    <w:pitch w:val="default"/>
    <w:sig w:usb0="800002BF" w:usb1="38CF7CFA" w:usb2="00000016" w:usb3="00000000" w:csb0="00040001" w:csb1="00000000"/>
    <w:embedRegular r:id="rId4" w:fontKey="{F87578CC-7BAF-4EA1-9140-A7AD1B568F36}"/>
  </w:font>
  <w:font w:name="方正仿宋简体">
    <w:panose1 w:val="02000000000000000000"/>
    <w:charset w:val="86"/>
    <w:family w:val="script"/>
    <w:pitch w:val="default"/>
    <w:sig w:usb0="A00002BF" w:usb1="184F6CFA" w:usb2="00000012" w:usb3="00000000" w:csb0="00040001" w:csb1="00000000"/>
    <w:embedRegular r:id="rId5" w:fontKey="{D89D09CC-FA63-42B5-82AE-BD43961D7785}"/>
  </w:font>
  <w:font w:name="ＭＳ 明朝">
    <w:altName w:val="Segoe Print"/>
    <w:panose1 w:val="00000000000000000000"/>
    <w:charset w:val="00"/>
    <w:family w:val="auto"/>
    <w:pitch w:val="default"/>
    <w:sig w:usb0="00000000" w:usb1="00000000" w:usb2="00000000" w:usb3="00000000" w:csb0="00000000" w:csb1="00000000"/>
    <w:embedRegular r:id="rId6" w:fontKey="{CDF64AF0-DD83-4175-B0E3-D83F1787142E}"/>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WPSEMBED5">
    <w:panose1 w:val="02000000000000000000"/>
    <w:charset w:val="86"/>
    <w:family w:val="auto"/>
    <w:pitch w:val="default"/>
    <w:sig w:usb0="A00002BF" w:usb1="184F6CFA" w:usb2="00000012"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1"/>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9"/>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4"/>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trackRevisions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04E23328"/>
    <w:rsid w:val="05C375FE"/>
    <w:rsid w:val="0842480A"/>
    <w:rsid w:val="0B9C7D1B"/>
    <w:rsid w:val="0CC76755"/>
    <w:rsid w:val="15B10424"/>
    <w:rsid w:val="17B67D6F"/>
    <w:rsid w:val="18CD45C3"/>
    <w:rsid w:val="18F45F0D"/>
    <w:rsid w:val="195E6FCA"/>
    <w:rsid w:val="1BF974E3"/>
    <w:rsid w:val="1C47643B"/>
    <w:rsid w:val="1CC730D8"/>
    <w:rsid w:val="1DF223D6"/>
    <w:rsid w:val="1E9A3B00"/>
    <w:rsid w:val="256911D0"/>
    <w:rsid w:val="25D7082F"/>
    <w:rsid w:val="261A696E"/>
    <w:rsid w:val="2A074D01"/>
    <w:rsid w:val="2A60060F"/>
    <w:rsid w:val="2DF7718D"/>
    <w:rsid w:val="2FCF5CB3"/>
    <w:rsid w:val="30592342"/>
    <w:rsid w:val="307750E9"/>
    <w:rsid w:val="32027F0E"/>
    <w:rsid w:val="36820D95"/>
    <w:rsid w:val="37DA649D"/>
    <w:rsid w:val="3A4F4D7F"/>
    <w:rsid w:val="3C9506A5"/>
    <w:rsid w:val="3CD3535A"/>
    <w:rsid w:val="3D736C38"/>
    <w:rsid w:val="3DD32C78"/>
    <w:rsid w:val="3FC343A8"/>
    <w:rsid w:val="412E12E8"/>
    <w:rsid w:val="444E1066"/>
    <w:rsid w:val="48D20DB5"/>
    <w:rsid w:val="4CAB763C"/>
    <w:rsid w:val="50954F31"/>
    <w:rsid w:val="50DC644B"/>
    <w:rsid w:val="52F669AC"/>
    <w:rsid w:val="537306FB"/>
    <w:rsid w:val="5C58107B"/>
    <w:rsid w:val="5C88775A"/>
    <w:rsid w:val="5F961168"/>
    <w:rsid w:val="5FE377F5"/>
    <w:rsid w:val="63BD210C"/>
    <w:rsid w:val="655609EF"/>
    <w:rsid w:val="66DC0AFB"/>
    <w:rsid w:val="672D1356"/>
    <w:rsid w:val="6A116D0D"/>
    <w:rsid w:val="6C111246"/>
    <w:rsid w:val="704B11C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宋体" w:hAnsi="宋体" w:eastAsia="宋体" w:cstheme="minorBidi"/>
      <w:sz w:val="28"/>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2">
    <w:name w:val="macro"/>
    <w:link w:val="148"/>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annotation text"/>
    <w:basedOn w:val="1"/>
    <w:semiHidden/>
    <w:unhideWhenUsed/>
    <w:qFormat/>
    <w:uiPriority w:val="99"/>
    <w:pPr>
      <w:jc w:val="left"/>
    </w:pPr>
  </w:style>
  <w:style w:type="paragraph" w:styleId="18">
    <w:name w:val="Body Text 3"/>
    <w:basedOn w:val="1"/>
    <w:link w:val="147"/>
    <w:unhideWhenUsed/>
    <w:qFormat/>
    <w:uiPriority w:val="99"/>
    <w:pPr>
      <w:spacing w:after="120"/>
    </w:pPr>
    <w:rPr>
      <w:sz w:val="16"/>
      <w:szCs w:val="16"/>
    </w:rPr>
  </w:style>
  <w:style w:type="paragraph" w:styleId="19">
    <w:name w:val="List Bullet 3"/>
    <w:basedOn w:val="1"/>
    <w:unhideWhenUsed/>
    <w:qFormat/>
    <w:uiPriority w:val="99"/>
    <w:pPr>
      <w:numPr>
        <w:ilvl w:val="0"/>
        <w:numId w:val="4"/>
      </w:numPr>
      <w:contextualSpacing/>
    </w:pPr>
  </w:style>
  <w:style w:type="paragraph" w:styleId="20">
    <w:name w:val="Body Text"/>
    <w:basedOn w:val="1"/>
    <w:link w:val="145"/>
    <w:unhideWhenUsed/>
    <w:qFormat/>
    <w:uiPriority w:val="99"/>
    <w:pPr>
      <w:spacing w:after="120"/>
    </w:pPr>
  </w:style>
  <w:style w:type="paragraph" w:styleId="21">
    <w:name w:val="List Number 3"/>
    <w:basedOn w:val="1"/>
    <w:unhideWhenUsed/>
    <w:qFormat/>
    <w:uiPriority w:val="99"/>
    <w:pPr>
      <w:numPr>
        <w:ilvl w:val="0"/>
        <w:numId w:val="5"/>
      </w:numPr>
      <w:contextualSpacing/>
    </w:pPr>
  </w:style>
  <w:style w:type="paragraph" w:styleId="22">
    <w:name w:val="List 2"/>
    <w:basedOn w:val="1"/>
    <w:unhideWhenUsed/>
    <w:qFormat/>
    <w:uiPriority w:val="99"/>
    <w:pPr>
      <w:ind w:left="720" w:hanging="360"/>
      <w:contextualSpacing/>
    </w:pPr>
  </w:style>
  <w:style w:type="paragraph" w:styleId="23">
    <w:name w:val="List Continue"/>
    <w:basedOn w:val="1"/>
    <w:unhideWhenUsed/>
    <w:qFormat/>
    <w:uiPriority w:val="99"/>
    <w:pPr>
      <w:spacing w:after="120"/>
      <w:ind w:left="360"/>
      <w:contextualSpacing/>
    </w:pPr>
  </w:style>
  <w:style w:type="paragraph" w:styleId="24">
    <w:name w:val="List Bullet 2"/>
    <w:basedOn w:val="1"/>
    <w:unhideWhenUsed/>
    <w:qFormat/>
    <w:uiPriority w:val="99"/>
    <w:pPr>
      <w:numPr>
        <w:ilvl w:val="0"/>
        <w:numId w:val="6"/>
      </w:numPr>
      <w:contextualSpacing/>
    </w:pPr>
  </w:style>
  <w:style w:type="paragraph" w:styleId="25">
    <w:name w:val="footer"/>
    <w:basedOn w:val="1"/>
    <w:link w:val="137"/>
    <w:unhideWhenUsed/>
    <w:qFormat/>
    <w:uiPriority w:val="99"/>
    <w:pPr>
      <w:tabs>
        <w:tab w:val="center" w:pos="4680"/>
        <w:tab w:val="right" w:pos="9360"/>
      </w:tabs>
      <w:spacing w:after="0" w:line="240" w:lineRule="auto"/>
    </w:pPr>
  </w:style>
  <w:style w:type="paragraph" w:styleId="26">
    <w:name w:val="header"/>
    <w:basedOn w:val="1"/>
    <w:link w:val="136"/>
    <w:unhideWhenUsed/>
    <w:qFormat/>
    <w:uiPriority w:val="99"/>
    <w:pPr>
      <w:tabs>
        <w:tab w:val="center" w:pos="4680"/>
        <w:tab w:val="right" w:pos="9360"/>
      </w:tabs>
      <w:spacing w:after="0" w:line="240" w:lineRule="auto"/>
    </w:pPr>
  </w:style>
  <w:style w:type="paragraph" w:styleId="27">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8">
    <w:name w:val="List"/>
    <w:basedOn w:val="1"/>
    <w:unhideWhenUsed/>
    <w:qFormat/>
    <w:uiPriority w:val="99"/>
    <w:pPr>
      <w:ind w:left="360" w:hanging="360"/>
      <w:contextualSpacing/>
    </w:pPr>
  </w:style>
  <w:style w:type="paragraph" w:styleId="29">
    <w:name w:val="Body Text 2"/>
    <w:basedOn w:val="1"/>
    <w:link w:val="146"/>
    <w:unhideWhenUsed/>
    <w:qFormat/>
    <w:uiPriority w:val="99"/>
    <w:pPr>
      <w:spacing w:after="120" w:line="480" w:lineRule="auto"/>
    </w:pPr>
  </w:style>
  <w:style w:type="paragraph" w:styleId="30">
    <w:name w:val="List Continue 2"/>
    <w:basedOn w:val="1"/>
    <w:unhideWhenUsed/>
    <w:qFormat/>
    <w:uiPriority w:val="99"/>
    <w:pPr>
      <w:spacing w:after="120"/>
      <w:ind w:left="720"/>
      <w:contextualSpacing/>
    </w:pPr>
  </w:style>
  <w:style w:type="paragraph" w:styleId="31">
    <w:name w:val="List Continue 3"/>
    <w:basedOn w:val="1"/>
    <w:unhideWhenUsed/>
    <w:qFormat/>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Header Char"/>
    <w:basedOn w:val="133"/>
    <w:link w:val="26"/>
    <w:qFormat/>
    <w:uiPriority w:val="99"/>
  </w:style>
  <w:style w:type="character" w:customStyle="1" w:styleId="137">
    <w:name w:val="Footer Char"/>
    <w:basedOn w:val="133"/>
    <w:link w:val="25"/>
    <w:qFormat/>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3"/>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3"/>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3"/>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3"/>
    <w:link w:val="32"/>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3"/>
    <w:link w:val="27"/>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3"/>
    <w:link w:val="20"/>
    <w:qFormat/>
    <w:uiPriority w:val="99"/>
  </w:style>
  <w:style w:type="character" w:customStyle="1" w:styleId="146">
    <w:name w:val="Body Text 2 Char"/>
    <w:basedOn w:val="133"/>
    <w:link w:val="29"/>
    <w:qFormat/>
    <w:uiPriority w:val="99"/>
  </w:style>
  <w:style w:type="character" w:customStyle="1" w:styleId="147">
    <w:name w:val="Body Text 3 Char"/>
    <w:basedOn w:val="133"/>
    <w:link w:val="18"/>
    <w:qFormat/>
    <w:uiPriority w:val="99"/>
    <w:rPr>
      <w:sz w:val="16"/>
      <w:szCs w:val="16"/>
    </w:rPr>
  </w:style>
  <w:style w:type="character" w:customStyle="1" w:styleId="148">
    <w:name w:val="Macro Text Char"/>
    <w:basedOn w:val="133"/>
    <w:link w:val="2"/>
    <w:qFormat/>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3"/>
    <w:link w:val="149"/>
    <w:qFormat/>
    <w:uiPriority w:val="29"/>
    <w:rPr>
      <w:i/>
      <w:iCs/>
      <w:color w:val="000000" w:themeColor="text1"/>
      <w14:textFill>
        <w14:solidFill>
          <w14:schemeClr w14:val="tx1"/>
        </w14:solidFill>
      </w14:textFill>
    </w:rPr>
  </w:style>
  <w:style w:type="character" w:customStyle="1" w:styleId="151">
    <w:name w:val="Heading 4 Char"/>
    <w:basedOn w:val="133"/>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3"/>
    <w:link w:val="7"/>
    <w:semiHidden/>
    <w:qFormat/>
    <w:uiPriority w:val="9"/>
    <w:rPr>
      <w:rFonts w:asciiTheme="majorHAnsi" w:hAnsiTheme="majorHAnsi" w:eastAsiaTheme="majorEastAsia" w:cstheme="majorBidi"/>
      <w:color w:val="254061" w:themeColor="accent1" w:themeShade="80"/>
    </w:rPr>
  </w:style>
  <w:style w:type="character" w:customStyle="1" w:styleId="153">
    <w:name w:val="Heading 6 Char"/>
    <w:basedOn w:val="133"/>
    <w:link w:val="8"/>
    <w:semiHidden/>
    <w:qFormat/>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3"/>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3"/>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3"/>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3"/>
    <w:link w:val="157"/>
    <w:qFormat/>
    <w:uiPriority w:val="30"/>
    <w:rPr>
      <w:b/>
      <w:bCs/>
      <w:i/>
      <w:iCs/>
      <w:color w:val="4F81BD" w:themeColor="accent1"/>
      <w14:textFill>
        <w14:solidFill>
          <w14:schemeClr w14:val="accent1"/>
        </w14:solidFill>
      </w14:textFill>
    </w:rPr>
  </w:style>
  <w:style w:type="character" w:customStyle="1" w:styleId="159">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3"/>
    <w:qFormat/>
    <w:uiPriority w:val="21"/>
    <w:rPr>
      <w:b/>
      <w:bCs/>
      <w:i/>
      <w:iCs/>
      <w:color w:val="4F81BD" w:themeColor="accent1"/>
      <w14:textFill>
        <w14:solidFill>
          <w14:schemeClr w14:val="accent1"/>
        </w14:solidFill>
      </w14:textFill>
    </w:rPr>
  </w:style>
  <w:style w:type="character" w:customStyle="1" w:styleId="161">
    <w:name w:val="Subtle Reference"/>
    <w:basedOn w:val="133"/>
    <w:qFormat/>
    <w:uiPriority w:val="31"/>
    <w:rPr>
      <w:smallCaps/>
      <w:color w:val="C0504D" w:themeColor="accent2"/>
      <w:u w:val="single"/>
      <w14:textFill>
        <w14:solidFill>
          <w14:schemeClr w14:val="accent2"/>
        </w14:solidFill>
      </w14:textFill>
    </w:rPr>
  </w:style>
  <w:style w:type="character" w:customStyle="1" w:styleId="162">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3"/>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690</Words>
  <Characters>907</Characters>
  <Lines>0</Lines>
  <Paragraphs>0</Paragraphs>
  <TotalTime>1</TotalTime>
  <ScaleCrop>false</ScaleCrop>
  <LinksUpToDate>false</LinksUpToDate>
  <CharactersWithSpaces>931</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zw</cp:lastModifiedBy>
  <dcterms:modified xsi:type="dcterms:W3CDTF">2026-07-02T02:28:01Z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eyJoZGlkIjoiYjU4YTEyOWI0YTA1NzExMDUyM2E4NzRjZjM1MmQ2OWEiLCJ1c2VySWQiOiIxMTI2NTcyODI0In0=</vt:lpwstr>
  </property>
  <property fmtid="{D5CDD505-2E9C-101B-9397-08002B2CF9AE}" pid="3" name="KSOProductBuildVer">
    <vt:lpwstr>2052-12.1.0.23122</vt:lpwstr>
  </property>
  <property fmtid="{D5CDD505-2E9C-101B-9397-08002B2CF9AE}" pid="4" name="ICV">
    <vt:lpwstr>740612A6D5DA4474BCD7C2A740727645_13</vt:lpwstr>
  </property>
</Properties>
</file>